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C6" w:rsidRDefault="00416DC6"/>
    <w:p w:rsidR="00416DC6" w:rsidRDefault="00416DC6" w:rsidP="00416DC6"/>
    <w:p w:rsidR="00416DC6" w:rsidRDefault="00416DC6" w:rsidP="00416DC6">
      <w:pPr>
        <w:rPr>
          <w:rFonts w:ascii="Century Gothic" w:hAnsi="Century Gothic"/>
          <w:color w:val="0070C0"/>
        </w:rPr>
      </w:pPr>
      <w:r>
        <w:tab/>
      </w:r>
      <w:r w:rsidR="00D949FC">
        <w:rPr>
          <w:rFonts w:ascii="Century Gothic" w:hAnsi="Century Gothic"/>
          <w:color w:val="0070C0"/>
        </w:rPr>
        <w:t>Most</w:t>
      </w:r>
      <w:r>
        <w:rPr>
          <w:rFonts w:ascii="Century Gothic" w:hAnsi="Century Gothic"/>
          <w:color w:val="0070C0"/>
        </w:rPr>
        <w:t xml:space="preserve"> fraudulent apps have</w:t>
      </w:r>
      <w:r w:rsidR="00D949FC">
        <w:rPr>
          <w:rFonts w:ascii="Century Gothic" w:hAnsi="Century Gothic"/>
          <w:color w:val="0070C0"/>
        </w:rPr>
        <w:t xml:space="preserve"> followed similar patterns</w:t>
      </w:r>
      <w:r>
        <w:rPr>
          <w:rFonts w:ascii="Century Gothic" w:hAnsi="Century Gothic"/>
          <w:color w:val="0070C0"/>
        </w:rPr>
        <w:t>:</w:t>
      </w:r>
    </w:p>
    <w:p w:rsidR="00416DC6" w:rsidRDefault="00416DC6" w:rsidP="00416DC6">
      <w:pPr>
        <w:rPr>
          <w:rFonts w:ascii="Century Gothic" w:hAnsi="Century Gothic"/>
          <w:i/>
          <w:iCs/>
          <w:color w:val="0070C0"/>
        </w:rPr>
      </w:pPr>
    </w:p>
    <w:p w:rsidR="00416DC6" w:rsidRDefault="00416DC6" w:rsidP="00416DC6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i/>
          <w:iCs/>
          <w:color w:val="0070C0"/>
        </w:rPr>
      </w:pPr>
      <w:r>
        <w:rPr>
          <w:rFonts w:ascii="Century Gothic" w:eastAsia="Times New Roman" w:hAnsi="Century Gothic"/>
          <w:i/>
          <w:iCs/>
          <w:color w:val="0070C0"/>
        </w:rPr>
        <w:t xml:space="preserve">requested support for rent arrears to a </w:t>
      </w:r>
      <w:r>
        <w:rPr>
          <w:rFonts w:ascii="Century Gothic" w:eastAsia="Times New Roman" w:hAnsi="Century Gothic"/>
          <w:i/>
          <w:iCs/>
          <w:color w:val="0070C0"/>
          <w:u w:val="single"/>
        </w:rPr>
        <w:t>private landlord</w:t>
      </w:r>
      <w:r>
        <w:rPr>
          <w:rFonts w:ascii="Century Gothic" w:eastAsia="Times New Roman" w:hAnsi="Century Gothic"/>
          <w:i/>
          <w:iCs/>
          <w:color w:val="0070C0"/>
        </w:rPr>
        <w:t xml:space="preserve"> or payment of a specific service (e.g. a funeral)</w:t>
      </w:r>
      <w:r>
        <w:rPr>
          <w:rFonts w:ascii="Century Gothic" w:eastAsia="Times New Roman" w:hAnsi="Century Gothic"/>
          <w:i/>
          <w:iCs/>
        </w:rPr>
        <w:t>.</w:t>
      </w:r>
    </w:p>
    <w:p w:rsidR="00416DC6" w:rsidRDefault="00416DC6" w:rsidP="00416DC6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i/>
          <w:iCs/>
          <w:color w:val="0070C0"/>
        </w:rPr>
      </w:pPr>
      <w:r>
        <w:rPr>
          <w:rFonts w:ascii="Century Gothic" w:eastAsia="Times New Roman" w:hAnsi="Century Gothic"/>
          <w:i/>
          <w:iCs/>
          <w:color w:val="0070C0"/>
        </w:rPr>
        <w:t xml:space="preserve">provided both a payslip and a separate supporting letter from an employer. Considering the </w:t>
      </w:r>
      <w:r w:rsidR="009A0088">
        <w:rPr>
          <w:rFonts w:ascii="Century Gothic" w:eastAsia="Times New Roman" w:hAnsi="Century Gothic"/>
          <w:i/>
          <w:iCs/>
          <w:color w:val="0070C0"/>
        </w:rPr>
        <w:t>issues,</w:t>
      </w:r>
      <w:r>
        <w:rPr>
          <w:rFonts w:ascii="Century Gothic" w:eastAsia="Times New Roman" w:hAnsi="Century Gothic"/>
          <w:i/>
          <w:iCs/>
          <w:color w:val="0070C0"/>
        </w:rPr>
        <w:t xml:space="preserve"> we often have obtaining proof of employment, this stands out!</w:t>
      </w:r>
    </w:p>
    <w:p w:rsidR="00416DC6" w:rsidRDefault="00416DC6" w:rsidP="00416DC6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i/>
          <w:iCs/>
          <w:color w:val="0070C0"/>
        </w:rPr>
      </w:pPr>
      <w:r>
        <w:rPr>
          <w:rFonts w:ascii="Century Gothic" w:eastAsia="Times New Roman" w:hAnsi="Century Gothic"/>
          <w:i/>
          <w:iCs/>
          <w:color w:val="0070C0"/>
        </w:rPr>
        <w:t>shown anomalies on the bank statement, either in formatting inconsistencies and/or unusually low levels of transactions.  </w:t>
      </w:r>
    </w:p>
    <w:p w:rsidR="009A0088" w:rsidRPr="009A0088" w:rsidRDefault="009A0088" w:rsidP="009A0088">
      <w:pPr>
        <w:rPr>
          <w:rFonts w:ascii="Century Gothic" w:eastAsia="Times New Roman" w:hAnsi="Century Gothic"/>
          <w:i/>
          <w:iCs/>
          <w:color w:val="0070C0"/>
        </w:rPr>
      </w:pPr>
    </w:p>
    <w:p w:rsidR="00416DC6" w:rsidRDefault="00416DC6" w:rsidP="00416DC6">
      <w:pPr>
        <w:rPr>
          <w:rFonts w:ascii="Century Gothic" w:hAnsi="Century Gothic"/>
          <w:i/>
          <w:iCs/>
          <w:color w:val="0070C0"/>
        </w:rPr>
      </w:pPr>
    </w:p>
    <w:p w:rsidR="00416DC6" w:rsidRDefault="009A0088" w:rsidP="00416DC6">
      <w:pPr>
        <w:rPr>
          <w:rFonts w:ascii="Century Gothic" w:hAnsi="Century Gothic"/>
          <w:i/>
          <w:iCs/>
          <w:color w:val="0070C0"/>
        </w:rPr>
      </w:pPr>
      <w:r>
        <w:rPr>
          <w:rFonts w:ascii="Century Gothic" w:hAnsi="Century Gothic"/>
          <w:i/>
          <w:iCs/>
          <w:color w:val="0070C0"/>
        </w:rPr>
        <w:t>K</w:t>
      </w:r>
      <w:r w:rsidR="00416DC6">
        <w:rPr>
          <w:rFonts w:ascii="Century Gothic" w:hAnsi="Century Gothic"/>
          <w:i/>
          <w:iCs/>
          <w:color w:val="0070C0"/>
        </w:rPr>
        <w:t xml:space="preserve">ey things to look out for </w:t>
      </w:r>
      <w:r>
        <w:rPr>
          <w:rFonts w:ascii="Century Gothic" w:hAnsi="Century Gothic"/>
          <w:i/>
          <w:iCs/>
          <w:color w:val="0070C0"/>
        </w:rPr>
        <w:t>on supporting evidence are</w:t>
      </w:r>
      <w:r w:rsidR="00416DC6">
        <w:rPr>
          <w:rFonts w:ascii="Century Gothic" w:hAnsi="Century Gothic"/>
          <w:i/>
          <w:iCs/>
          <w:color w:val="0070C0"/>
        </w:rPr>
        <w:t>:</w:t>
      </w:r>
    </w:p>
    <w:p w:rsidR="00416DC6" w:rsidRDefault="00416DC6" w:rsidP="00416DC6">
      <w:pPr>
        <w:rPr>
          <w:rFonts w:ascii="Century Gothic" w:hAnsi="Century Gothic"/>
          <w:i/>
          <w:iCs/>
          <w:color w:val="0070C0"/>
        </w:rPr>
      </w:pPr>
    </w:p>
    <w:p w:rsidR="009A0088" w:rsidRPr="00506BAF" w:rsidRDefault="009A0088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iCs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 xml:space="preserve">PDFs </w:t>
      </w:r>
      <w:r w:rsidRPr="00506BAF">
        <w:rPr>
          <w:rFonts w:ascii="Century Gothic" w:eastAsia="Times New Roman" w:hAnsi="Century Gothic"/>
          <w:bCs/>
          <w:i/>
          <w:iCs/>
          <w:color w:val="0070C0"/>
        </w:rPr>
        <w:t xml:space="preserve">– By right-clicking on a pdf icon, you can view the document’s ‘Properties’. Consider the dates that the document was created and modified, against the dates the document is purporting to represent. </w:t>
      </w: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 xml:space="preserve"> </w:t>
      </w:r>
    </w:p>
    <w:p w:rsidR="00416DC6" w:rsidRPr="00506BAF" w:rsidRDefault="00416DC6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iCs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>Rent arrears</w:t>
      </w:r>
      <w:r w:rsidRPr="00506BAF">
        <w:rPr>
          <w:rFonts w:ascii="Century Gothic" w:eastAsia="Times New Roman" w:hAnsi="Century Gothic"/>
          <w:i/>
          <w:iCs/>
          <w:color w:val="0070C0"/>
        </w:rPr>
        <w:t xml:space="preserve"> - If support being requested is for rent arrears, pay extra vigilance where the landlord is a private landlord, as opposed to a Letting Agent or Housing Association.</w:t>
      </w:r>
    </w:p>
    <w:p w:rsidR="00416DC6" w:rsidRPr="00506BAF" w:rsidRDefault="00416DC6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iCs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>Private Landlord</w:t>
      </w:r>
      <w:r w:rsidRPr="00506BAF">
        <w:rPr>
          <w:rFonts w:ascii="Century Gothic" w:eastAsia="Times New Roman" w:hAnsi="Century Gothic"/>
          <w:i/>
          <w:iCs/>
          <w:color w:val="0070C0"/>
        </w:rPr>
        <w:t xml:space="preserve"> - Cross reference name of landlord on arrears statement against rent payment on bank statement.</w:t>
      </w:r>
    </w:p>
    <w:p w:rsidR="00416DC6" w:rsidRPr="00506BAF" w:rsidRDefault="00416DC6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iCs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>Employer check -</w:t>
      </w:r>
      <w:r w:rsidRPr="00506BAF">
        <w:rPr>
          <w:rFonts w:ascii="Century Gothic" w:eastAsia="Times New Roman" w:hAnsi="Century Gothic"/>
          <w:i/>
          <w:iCs/>
          <w:color w:val="0070C0"/>
        </w:rPr>
        <w:t xml:space="preserve"> Google the employer to verify that the name, location etc. match the evidence provided.</w:t>
      </w:r>
      <w:r w:rsidRPr="00506BAF">
        <w:rPr>
          <w:rFonts w:ascii="Century Gothic" w:eastAsia="Times New Roman" w:hAnsi="Century Gothic"/>
          <w:i/>
          <w:iCs/>
        </w:rPr>
        <w:t xml:space="preserve"> </w:t>
      </w:r>
    </w:p>
    <w:p w:rsidR="00416DC6" w:rsidRPr="00506BAF" w:rsidRDefault="00416DC6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b/>
          <w:bCs/>
          <w:i/>
          <w:iCs/>
          <w:color w:val="0070C0"/>
        </w:rPr>
      </w:pPr>
      <w:bookmarkStart w:id="0" w:name="_GoBack"/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 xml:space="preserve">Proof of employment – </w:t>
      </w:r>
      <w:r w:rsidRPr="00506BAF">
        <w:rPr>
          <w:rFonts w:ascii="Century Gothic" w:eastAsia="Times New Roman" w:hAnsi="Century Gothic"/>
          <w:i/>
          <w:iCs/>
          <w:color w:val="0070C0"/>
        </w:rPr>
        <w:t xml:space="preserve">Does the name of the employer on the payslip match </w:t>
      </w:r>
      <w:bookmarkEnd w:id="0"/>
      <w:r w:rsidRPr="00506BAF">
        <w:rPr>
          <w:rFonts w:ascii="Century Gothic" w:eastAsia="Times New Roman" w:hAnsi="Century Gothic"/>
          <w:i/>
          <w:iCs/>
          <w:color w:val="0070C0"/>
        </w:rPr>
        <w:t>that on the supporting letter and/or the app form and/or the internet/companies house?</w:t>
      </w:r>
      <w:r w:rsidRPr="00506BAF">
        <w:rPr>
          <w:rFonts w:ascii="Century Gothic" w:eastAsia="Times New Roman" w:hAnsi="Century Gothic"/>
          <w:i/>
          <w:iCs/>
        </w:rPr>
        <w:t xml:space="preserve"> </w:t>
      </w:r>
      <w:r w:rsidRPr="00506BAF">
        <w:rPr>
          <w:rFonts w:ascii="Century Gothic" w:eastAsia="Times New Roman" w:hAnsi="Century Gothic"/>
          <w:i/>
          <w:iCs/>
          <w:color w:val="0070C0"/>
        </w:rPr>
        <w:t>Look out for typos, spelling mistakes.</w:t>
      </w:r>
    </w:p>
    <w:p w:rsidR="00416DC6" w:rsidRPr="00506BAF" w:rsidRDefault="00416DC6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 xml:space="preserve">Payslip – </w:t>
      </w:r>
      <w:r w:rsidRPr="00506BAF">
        <w:rPr>
          <w:rFonts w:ascii="Century Gothic" w:eastAsia="Times New Roman" w:hAnsi="Century Gothic"/>
          <w:i/>
          <w:color w:val="0070C0"/>
        </w:rPr>
        <w:t>Consider comparing format against</w:t>
      </w: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 xml:space="preserve"> </w:t>
      </w:r>
      <w:r w:rsidRPr="00506BAF">
        <w:rPr>
          <w:rFonts w:ascii="Century Gothic" w:eastAsia="Times New Roman" w:hAnsi="Century Gothic"/>
          <w:i/>
          <w:color w:val="0070C0"/>
        </w:rPr>
        <w:t xml:space="preserve">previous cases from the same employer, where possible. Look out for formatting errors, unusually high or low rates of tax/NI or YTD figures. </w:t>
      </w:r>
    </w:p>
    <w:p w:rsidR="00416DC6" w:rsidRPr="00506BAF" w:rsidRDefault="00416DC6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iCs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>Bank statement</w:t>
      </w:r>
      <w:r w:rsidRPr="00506BAF">
        <w:rPr>
          <w:rFonts w:ascii="Century Gothic" w:eastAsia="Times New Roman" w:hAnsi="Century Gothic"/>
          <w:i/>
          <w:iCs/>
          <w:color w:val="0070C0"/>
        </w:rPr>
        <w:t xml:space="preserve"> - Check the bank statement for formatting errors (i.e. misalignment of dates/text, random bold text or variable fonts), check for dates out of sequence or rolling balances not adding up. </w:t>
      </w:r>
    </w:p>
    <w:p w:rsidR="009A0088" w:rsidRPr="00506BAF" w:rsidRDefault="00416DC6" w:rsidP="009A0088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iCs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>UC statement</w:t>
      </w:r>
      <w:r w:rsidRPr="00506BAF">
        <w:rPr>
          <w:rFonts w:ascii="Century Gothic" w:eastAsia="Times New Roman" w:hAnsi="Century Gothic"/>
          <w:i/>
          <w:iCs/>
          <w:color w:val="0070C0"/>
        </w:rPr>
        <w:t xml:space="preserve"> – is the standard rate correct? Does the housing element look appropriate for the area? (check against LHA rates online). Consider font and formatting against legitimate UC statements. </w:t>
      </w:r>
      <w:r w:rsidR="009A0088" w:rsidRPr="00506BAF">
        <w:rPr>
          <w:rFonts w:ascii="Century Gothic" w:eastAsia="Times New Roman" w:hAnsi="Century Gothic"/>
          <w:i/>
          <w:iCs/>
          <w:color w:val="0070C0"/>
        </w:rPr>
        <w:t xml:space="preserve">Check hyperlinks on the document. Are all hyperlinks active? Do they point to the relevant gov.uk website? </w:t>
      </w:r>
    </w:p>
    <w:p w:rsidR="00416DC6" w:rsidRPr="00506BAF" w:rsidRDefault="00416DC6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iCs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>National Insurance Number</w:t>
      </w:r>
      <w:r w:rsidRPr="00506BAF">
        <w:rPr>
          <w:rFonts w:ascii="Century Gothic" w:eastAsia="Times New Roman" w:hAnsi="Century Gothic"/>
          <w:i/>
          <w:iCs/>
          <w:color w:val="0070C0"/>
        </w:rPr>
        <w:t xml:space="preserve"> - Check the format of the NI number – does it follow the usual format (see </w:t>
      </w:r>
      <w:hyperlink r:id="rId5" w:anchor=":~:text=The%20characters%20D%2C%20F%2C%20I,second%20letter%20of%20a%20prefix." w:history="1">
        <w:r w:rsidRPr="00506BAF">
          <w:rPr>
            <w:rStyle w:val="Hyperlink"/>
            <w:rFonts w:ascii="Century Gothic" w:eastAsia="Times New Roman" w:hAnsi="Century Gothic"/>
            <w:i/>
            <w:iCs/>
            <w:color w:val="0070C0"/>
          </w:rPr>
          <w:t>Gov guide</w:t>
        </w:r>
      </w:hyperlink>
      <w:r w:rsidRPr="00506BAF">
        <w:rPr>
          <w:rFonts w:ascii="Century Gothic" w:eastAsia="Times New Roman" w:hAnsi="Century Gothic"/>
          <w:i/>
          <w:iCs/>
          <w:color w:val="0070C0"/>
        </w:rPr>
        <w:t xml:space="preserve"> if in doubt)? Does it have letters not usually seen in NI numbers? Does it match payslip, app form, P60/P45, etc?</w:t>
      </w:r>
    </w:p>
    <w:p w:rsidR="00416DC6" w:rsidRPr="00506BAF" w:rsidRDefault="00416DC6" w:rsidP="00416DC6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i/>
          <w:iCs/>
          <w:color w:val="0070C0"/>
        </w:rPr>
      </w:pPr>
      <w:r w:rsidRPr="00506BAF">
        <w:rPr>
          <w:rFonts w:ascii="Century Gothic" w:eastAsia="Times New Roman" w:hAnsi="Century Gothic"/>
          <w:b/>
          <w:bCs/>
          <w:i/>
          <w:iCs/>
          <w:color w:val="0070C0"/>
        </w:rPr>
        <w:t>Payment details</w:t>
      </w:r>
      <w:r w:rsidRPr="00506BAF">
        <w:rPr>
          <w:rFonts w:ascii="Century Gothic" w:eastAsia="Times New Roman" w:hAnsi="Century Gothic"/>
          <w:i/>
          <w:iCs/>
          <w:color w:val="0070C0"/>
        </w:rPr>
        <w:t xml:space="preserve"> - If support is being requested for an item or service, ensure the bank account details are in a company name, rather than an individual.  </w:t>
      </w:r>
    </w:p>
    <w:p w:rsidR="00416DC6" w:rsidRDefault="00416DC6" w:rsidP="00416DC6">
      <w:pPr>
        <w:rPr>
          <w:rFonts w:ascii="Century Gothic" w:hAnsi="Century Gothic"/>
          <w:i/>
          <w:iCs/>
          <w:color w:val="0070C0"/>
        </w:rPr>
      </w:pPr>
    </w:p>
    <w:p w:rsidR="00416DC6" w:rsidRDefault="00416DC6" w:rsidP="00416DC6">
      <w:pPr>
        <w:rPr>
          <w:rFonts w:ascii="Century Gothic" w:hAnsi="Century Gothic"/>
          <w:i/>
          <w:iCs/>
          <w:color w:val="0070C0"/>
        </w:rPr>
      </w:pPr>
      <w:r>
        <w:rPr>
          <w:rFonts w:ascii="Century Gothic" w:hAnsi="Century Gothic"/>
          <w:i/>
          <w:iCs/>
          <w:color w:val="0070C0"/>
        </w:rPr>
        <w:t>In the event of suspicion on any or all of the above, discuss with Grants Manager and consider referral to Action Fraud in overt cases and/or whether to enforce use of Open Banking to allay suspicion.</w:t>
      </w:r>
    </w:p>
    <w:p w:rsidR="00416DC6" w:rsidRDefault="00416DC6" w:rsidP="00416DC6">
      <w:pPr>
        <w:rPr>
          <w:rFonts w:ascii="Century Gothic" w:hAnsi="Century Gothic"/>
        </w:rPr>
      </w:pPr>
    </w:p>
    <w:p w:rsidR="002C13D4" w:rsidRPr="00416DC6" w:rsidRDefault="00506BAF" w:rsidP="00416DC6">
      <w:pPr>
        <w:tabs>
          <w:tab w:val="left" w:pos="1800"/>
        </w:tabs>
      </w:pPr>
    </w:p>
    <w:sectPr w:rsidR="002C13D4" w:rsidRPr="00416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0D23"/>
    <w:multiLevelType w:val="hybridMultilevel"/>
    <w:tmpl w:val="C35C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55CC"/>
    <w:multiLevelType w:val="hybridMultilevel"/>
    <w:tmpl w:val="B868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C6"/>
    <w:rsid w:val="003D486F"/>
    <w:rsid w:val="00416DC6"/>
    <w:rsid w:val="00506BAF"/>
    <w:rsid w:val="006666C8"/>
    <w:rsid w:val="009A0088"/>
    <w:rsid w:val="00D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7352"/>
  <w15:chartTrackingRefBased/>
  <w15:docId w15:val="{972F6A7D-3F36-4E9D-A444-533291F6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D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DC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16D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hmrc-internal-manuals/national-insurance-manual/nim39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Hospitality Action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Parsons</dc:creator>
  <cp:keywords/>
  <dc:description/>
  <cp:lastModifiedBy>Calvin Parsons</cp:lastModifiedBy>
  <cp:revision>3</cp:revision>
  <dcterms:created xsi:type="dcterms:W3CDTF">2023-04-26T08:28:00Z</dcterms:created>
  <dcterms:modified xsi:type="dcterms:W3CDTF">2023-06-06T11:26:00Z</dcterms:modified>
</cp:coreProperties>
</file>